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FB2A4C">
      <w:pPr>
        <w:widowControl/>
        <w:shd w:val="clear" w:color="auto" w:fill="FFFFFF"/>
        <w:spacing w:after="115" w:line="240" w:lineRule="auto"/>
        <w:ind w:firstLine="276"/>
        <w:jc w:val="center"/>
        <w:rPr>
          <w:rFonts w:ascii="微软雅黑" w:hAnsi="微软雅黑" w:eastAsia="微软雅黑" w:cs="宋体"/>
          <w:color w:val="000000"/>
          <w:kern w:val="0"/>
          <w:sz w:val="44"/>
          <w:szCs w:val="44"/>
        </w:rPr>
      </w:pPr>
      <w:r>
        <w:rPr>
          <w:rFonts w:hint="eastAsia" w:ascii="微软雅黑" w:hAnsi="微软雅黑" w:eastAsia="微软雅黑" w:cs="宋体"/>
          <w:color w:val="000000"/>
          <w:kern w:val="0"/>
          <w:sz w:val="44"/>
          <w:szCs w:val="44"/>
        </w:rPr>
        <w:t>建设工程造价纠纷调解工作制度</w:t>
      </w:r>
    </w:p>
    <w:p w14:paraId="3B54509F">
      <w:pPr>
        <w:pStyle w:val="10"/>
        <w:widowControl/>
        <w:numPr>
          <w:ilvl w:val="0"/>
          <w:numId w:val="1"/>
        </w:numPr>
        <w:shd w:val="clear" w:color="auto" w:fill="FFFFFF"/>
        <w:spacing w:before="100" w:beforeAutospacing="1" w:after="100" w:afterAutospacing="1" w:line="276" w:lineRule="atLeast"/>
        <w:ind w:firstLineChars="0"/>
        <w:jc w:val="left"/>
        <w:rPr>
          <w:rFonts w:ascii="微软雅黑" w:hAnsi="微软雅黑" w:eastAsia="微软雅黑" w:cs="宋体"/>
          <w:color w:val="000000"/>
          <w:kern w:val="0"/>
          <w:sz w:val="28"/>
          <w:szCs w:val="28"/>
        </w:rPr>
      </w:pPr>
      <w:bookmarkStart w:id="0" w:name="_GoBack"/>
      <w:r>
        <w:rPr>
          <w:rFonts w:hint="eastAsia" w:ascii="微软雅黑" w:hAnsi="微软雅黑" w:eastAsia="微软雅黑" w:cs="宋体"/>
          <w:color w:val="000000"/>
          <w:kern w:val="0"/>
          <w:sz w:val="28"/>
          <w:szCs w:val="28"/>
        </w:rPr>
        <w:t>受理范围</w:t>
      </w:r>
    </w:p>
    <w:bookmarkEnd w:id="0"/>
    <w:p w14:paraId="7724A5BF">
      <w:pPr>
        <w:pStyle w:val="10"/>
        <w:widowControl/>
        <w:shd w:val="clear" w:color="auto" w:fill="FFFFFF"/>
        <w:spacing w:before="100" w:beforeAutospacing="1" w:after="100" w:afterAutospacing="1" w:line="276" w:lineRule="atLeast"/>
        <w:ind w:left="690" w:firstLine="0" w:firstLineChars="0"/>
        <w:jc w:val="left"/>
        <w:rPr>
          <w:rFonts w:ascii="微软雅黑" w:hAnsi="微软雅黑" w:eastAsia="微软雅黑" w:cs="宋体"/>
          <w:color w:val="000000"/>
          <w:kern w:val="0"/>
          <w:sz w:val="28"/>
          <w:szCs w:val="28"/>
        </w:rPr>
      </w:pPr>
      <w:r>
        <w:rPr>
          <w:rFonts w:hint="eastAsia" w:ascii="微软雅黑" w:hAnsi="微软雅黑" w:eastAsia="微软雅黑" w:cs="宋体"/>
          <w:color w:val="000000"/>
          <w:kern w:val="0"/>
          <w:sz w:val="28"/>
          <w:szCs w:val="28"/>
        </w:rPr>
        <w:t xml:space="preserve">  沈阳市行政区域内凡执行辽宁省市建设工程计价依据的建设工程项目，因对工程招标文件、合同约定、变更签证、定额执行、调整文件等不同认识引起的造价纠纷，双方共同申请，共同到造价管理部门调解。</w:t>
      </w:r>
    </w:p>
    <w:p w14:paraId="556670BA">
      <w:pPr>
        <w:pStyle w:val="10"/>
        <w:widowControl/>
        <w:numPr>
          <w:ilvl w:val="0"/>
          <w:numId w:val="1"/>
        </w:numPr>
        <w:shd w:val="clear" w:color="auto" w:fill="FFFFFF"/>
        <w:spacing w:before="100" w:beforeAutospacing="1" w:after="100" w:afterAutospacing="1" w:line="276" w:lineRule="atLeast"/>
        <w:ind w:firstLineChars="0"/>
        <w:jc w:val="left"/>
        <w:rPr>
          <w:rFonts w:ascii="微软雅黑" w:hAnsi="微软雅黑" w:eastAsia="微软雅黑" w:cs="宋体"/>
          <w:color w:val="000000"/>
          <w:kern w:val="0"/>
          <w:sz w:val="28"/>
          <w:szCs w:val="28"/>
        </w:rPr>
      </w:pPr>
      <w:r>
        <w:rPr>
          <w:rFonts w:hint="eastAsia" w:ascii="微软雅黑" w:hAnsi="微软雅黑" w:eastAsia="微软雅黑" w:cs="宋体"/>
          <w:color w:val="000000"/>
          <w:kern w:val="0"/>
          <w:sz w:val="28"/>
          <w:szCs w:val="28"/>
        </w:rPr>
        <w:t>建设工程造价纠纷调解工作的相关依据</w:t>
      </w:r>
    </w:p>
    <w:p w14:paraId="2E7ACFA9">
      <w:pPr>
        <w:pStyle w:val="10"/>
        <w:widowControl/>
        <w:shd w:val="clear" w:color="auto" w:fill="FFFFFF"/>
        <w:spacing w:before="100" w:beforeAutospacing="1" w:after="100" w:afterAutospacing="1" w:line="276" w:lineRule="atLeast"/>
        <w:ind w:left="690" w:firstLine="560"/>
        <w:jc w:val="left"/>
        <w:rPr>
          <w:rFonts w:ascii="微软雅黑" w:hAnsi="微软雅黑" w:eastAsia="微软雅黑" w:cs="宋体"/>
          <w:color w:val="000000"/>
          <w:kern w:val="0"/>
          <w:sz w:val="28"/>
          <w:szCs w:val="28"/>
        </w:rPr>
      </w:pPr>
      <w:r>
        <w:rPr>
          <w:rFonts w:hint="eastAsia" w:ascii="微软雅黑" w:hAnsi="微软雅黑" w:eastAsia="微软雅黑" w:cs="宋体"/>
          <w:color w:val="000000"/>
          <w:kern w:val="0"/>
          <w:sz w:val="28"/>
          <w:szCs w:val="28"/>
        </w:rPr>
        <w:t>1．【规章】《建筑工程施工发包与承包计价管理办法》（住房和城乡建设部令第16号，2014年2月1日起执行）</w:t>
      </w:r>
    </w:p>
    <w:p w14:paraId="2B078508">
      <w:pPr>
        <w:pStyle w:val="10"/>
        <w:widowControl/>
        <w:shd w:val="clear" w:color="auto" w:fill="FFFFFF"/>
        <w:spacing w:before="100" w:beforeAutospacing="1" w:after="100" w:afterAutospacing="1" w:line="276" w:lineRule="atLeast"/>
        <w:ind w:left="690" w:firstLine="560"/>
        <w:jc w:val="left"/>
        <w:rPr>
          <w:rFonts w:ascii="微软雅黑" w:hAnsi="微软雅黑" w:eastAsia="微软雅黑" w:cs="宋体"/>
          <w:color w:val="000000"/>
          <w:kern w:val="0"/>
          <w:sz w:val="28"/>
          <w:szCs w:val="28"/>
        </w:rPr>
      </w:pPr>
      <w:r>
        <w:rPr>
          <w:rFonts w:hint="eastAsia" w:ascii="微软雅黑" w:hAnsi="微软雅黑" w:eastAsia="微软雅黑" w:cs="宋体"/>
          <w:color w:val="000000"/>
          <w:kern w:val="0"/>
          <w:sz w:val="28"/>
          <w:szCs w:val="28"/>
        </w:rPr>
        <w:t>第四条 国务院住房城乡建设主管部门负责全国工程发承包计价工作的管理。县级以上地方人民政府住房城乡建设主管部门负责本行政区域内工程发承包计价工作的管理。其具体工作可以委托工程造价管理机构负责。</w:t>
      </w:r>
    </w:p>
    <w:p w14:paraId="0996E727">
      <w:pPr>
        <w:pStyle w:val="10"/>
        <w:widowControl/>
        <w:shd w:val="clear" w:color="auto" w:fill="FFFFFF"/>
        <w:spacing w:before="100" w:beforeAutospacing="1" w:after="100" w:afterAutospacing="1" w:line="276" w:lineRule="atLeast"/>
        <w:ind w:left="690" w:firstLine="560"/>
        <w:jc w:val="left"/>
        <w:rPr>
          <w:rFonts w:ascii="微软雅黑" w:hAnsi="微软雅黑" w:eastAsia="微软雅黑" w:cs="宋体"/>
          <w:color w:val="000000"/>
          <w:kern w:val="0"/>
          <w:sz w:val="28"/>
          <w:szCs w:val="28"/>
        </w:rPr>
      </w:pPr>
      <w:r>
        <w:rPr>
          <w:rFonts w:hint="eastAsia" w:ascii="微软雅黑" w:hAnsi="微软雅黑" w:eastAsia="微软雅黑" w:cs="宋体"/>
          <w:color w:val="000000"/>
          <w:kern w:val="0"/>
          <w:sz w:val="28"/>
          <w:szCs w:val="28"/>
        </w:rPr>
        <w:t xml:space="preserve">第十八条 （三）承包方对发包方提出的工程造价咨询企业竣工结算审核意见有异议的，在接到该审核意见后一个月内，可以向有关工程造价管理机构或者有关行业组织申请调解，调解不成的，可以依法申请仲裁或者向人民法院提起诉讼。 </w:t>
      </w:r>
    </w:p>
    <w:p w14:paraId="3215A815">
      <w:pPr>
        <w:pStyle w:val="10"/>
        <w:widowControl/>
        <w:shd w:val="clear" w:color="auto" w:fill="FFFFFF"/>
        <w:spacing w:before="100" w:beforeAutospacing="1" w:after="100" w:afterAutospacing="1" w:line="276" w:lineRule="atLeast"/>
        <w:ind w:left="690" w:firstLine="560"/>
        <w:jc w:val="left"/>
        <w:rPr>
          <w:rFonts w:ascii="微软雅黑" w:hAnsi="微软雅黑" w:eastAsia="微软雅黑" w:cs="宋体"/>
          <w:color w:val="000000"/>
          <w:kern w:val="0"/>
          <w:sz w:val="28"/>
          <w:szCs w:val="28"/>
        </w:rPr>
      </w:pPr>
      <w:r>
        <w:rPr>
          <w:rFonts w:hint="eastAsia" w:ascii="微软雅黑" w:hAnsi="微软雅黑" w:eastAsia="微软雅黑" w:cs="宋体"/>
          <w:color w:val="000000"/>
          <w:kern w:val="0"/>
          <w:sz w:val="28"/>
          <w:szCs w:val="28"/>
        </w:rPr>
        <w:t>2．【规章】《辽宁省建设工程造价管理办法》（辽宁省人民政府令第260号，2011年9月22日起执行）</w:t>
      </w:r>
    </w:p>
    <w:p w14:paraId="04C61D3D">
      <w:pPr>
        <w:pStyle w:val="10"/>
        <w:widowControl/>
        <w:shd w:val="clear" w:color="auto" w:fill="FFFFFF"/>
        <w:spacing w:before="100" w:beforeAutospacing="1" w:after="100" w:afterAutospacing="1" w:line="276" w:lineRule="atLeast"/>
        <w:ind w:left="690" w:firstLine="560"/>
        <w:jc w:val="left"/>
        <w:rPr>
          <w:rFonts w:ascii="微软雅黑" w:hAnsi="微软雅黑" w:eastAsia="微软雅黑" w:cs="宋体"/>
          <w:color w:val="000000"/>
          <w:kern w:val="0"/>
          <w:sz w:val="28"/>
          <w:szCs w:val="28"/>
        </w:rPr>
      </w:pPr>
      <w:r>
        <w:rPr>
          <w:rFonts w:hint="eastAsia" w:ascii="微软雅黑" w:hAnsi="微软雅黑" w:eastAsia="微软雅黑" w:cs="宋体"/>
          <w:color w:val="000000"/>
          <w:kern w:val="0"/>
          <w:sz w:val="28"/>
          <w:szCs w:val="28"/>
        </w:rPr>
        <w:t xml:space="preserve">第三十条 建设工程造价发生争议，经协商不能达成一致意见的，可以按照合同约定的方式提请调解。也可以依法申请仲裁或者向人民法院起诉。 </w:t>
      </w:r>
    </w:p>
    <w:p w14:paraId="3FAC0DC8">
      <w:pPr>
        <w:pStyle w:val="10"/>
        <w:widowControl/>
        <w:shd w:val="clear" w:color="auto" w:fill="FFFFFF"/>
        <w:spacing w:before="100" w:beforeAutospacing="1" w:after="100" w:afterAutospacing="1" w:line="276" w:lineRule="atLeast"/>
        <w:ind w:left="690" w:firstLine="560"/>
        <w:jc w:val="left"/>
        <w:rPr>
          <w:rFonts w:ascii="微软雅黑" w:hAnsi="微软雅黑" w:eastAsia="微软雅黑" w:cs="宋体"/>
          <w:color w:val="000000"/>
          <w:kern w:val="0"/>
          <w:sz w:val="28"/>
          <w:szCs w:val="28"/>
        </w:rPr>
      </w:pPr>
      <w:r>
        <w:rPr>
          <w:rFonts w:hint="eastAsia" w:ascii="微软雅黑" w:hAnsi="微软雅黑" w:eastAsia="微软雅黑" w:cs="宋体"/>
          <w:color w:val="000000"/>
          <w:kern w:val="0"/>
          <w:sz w:val="28"/>
          <w:szCs w:val="28"/>
        </w:rPr>
        <w:t>3．【规范性文件】《建设工程工程量清单计价规范》（GB50500-2013住房和城乡建设部公告第1567号）</w:t>
      </w:r>
    </w:p>
    <w:p w14:paraId="2CD386B9">
      <w:pPr>
        <w:pStyle w:val="10"/>
        <w:widowControl/>
        <w:shd w:val="clear" w:color="auto" w:fill="FFFFFF"/>
        <w:spacing w:before="100" w:beforeAutospacing="1" w:after="100" w:afterAutospacing="1" w:line="276" w:lineRule="atLeast"/>
        <w:ind w:left="690" w:firstLine="560"/>
        <w:jc w:val="left"/>
        <w:rPr>
          <w:rFonts w:ascii="微软雅黑" w:hAnsi="微软雅黑" w:eastAsia="微软雅黑" w:cs="宋体"/>
          <w:color w:val="000000"/>
          <w:kern w:val="0"/>
          <w:sz w:val="28"/>
          <w:szCs w:val="28"/>
        </w:rPr>
      </w:pPr>
      <w:r>
        <w:rPr>
          <w:rFonts w:hint="eastAsia" w:ascii="微软雅黑" w:hAnsi="微软雅黑" w:eastAsia="微软雅黑" w:cs="宋体"/>
          <w:color w:val="000000"/>
          <w:kern w:val="0"/>
          <w:sz w:val="28"/>
          <w:szCs w:val="28"/>
        </w:rPr>
        <w:t xml:space="preserve">第13.2.1条 发承包双方可就工程计价依据的争议以书面形式提请工程造价管理机构对争议以书面文件进行解释或认定。 </w:t>
      </w:r>
    </w:p>
    <w:p w14:paraId="53FFA8E6">
      <w:pPr>
        <w:pStyle w:val="10"/>
        <w:widowControl/>
        <w:shd w:val="clear" w:color="auto" w:fill="FFFFFF"/>
        <w:spacing w:before="100" w:beforeAutospacing="1" w:after="100" w:afterAutospacing="1" w:line="276" w:lineRule="atLeast"/>
        <w:ind w:left="690" w:firstLine="560"/>
        <w:jc w:val="left"/>
        <w:rPr>
          <w:rFonts w:ascii="微软雅黑" w:hAnsi="微软雅黑" w:eastAsia="微软雅黑" w:cs="宋体"/>
          <w:color w:val="000000"/>
          <w:kern w:val="0"/>
          <w:sz w:val="28"/>
          <w:szCs w:val="28"/>
        </w:rPr>
      </w:pPr>
      <w:r>
        <w:rPr>
          <w:rFonts w:hint="eastAsia" w:ascii="微软雅黑" w:hAnsi="微软雅黑" w:eastAsia="微软雅黑" w:cs="宋体"/>
          <w:color w:val="000000"/>
          <w:kern w:val="0"/>
          <w:sz w:val="28"/>
          <w:szCs w:val="28"/>
        </w:rPr>
        <w:t>4．【规范性文件】《关于颁布&lt;辽宁省建设工程工程量清单计价监督管理办法&gt;的通知》（辽建发[2004]26号）</w:t>
      </w:r>
    </w:p>
    <w:p w14:paraId="653952B6">
      <w:pPr>
        <w:pStyle w:val="10"/>
        <w:widowControl/>
        <w:shd w:val="clear" w:color="auto" w:fill="FFFFFF"/>
        <w:spacing w:before="100" w:beforeAutospacing="1" w:after="100" w:afterAutospacing="1" w:line="276" w:lineRule="atLeast"/>
        <w:ind w:left="690" w:firstLine="0" w:firstLineChars="0"/>
        <w:jc w:val="left"/>
        <w:rPr>
          <w:rFonts w:ascii="微软雅黑" w:hAnsi="微软雅黑" w:eastAsia="微软雅黑" w:cs="宋体"/>
          <w:color w:val="000000"/>
          <w:kern w:val="0"/>
          <w:sz w:val="28"/>
          <w:szCs w:val="28"/>
        </w:rPr>
      </w:pPr>
      <w:r>
        <w:rPr>
          <w:rFonts w:hint="eastAsia" w:ascii="微软雅黑" w:hAnsi="微软雅黑" w:eastAsia="微软雅黑" w:cs="宋体"/>
          <w:color w:val="000000"/>
          <w:kern w:val="0"/>
          <w:sz w:val="28"/>
          <w:szCs w:val="28"/>
        </w:rPr>
        <w:t>第二十八条 合同双方当事人发生纠纷时，可通过下列办法解决。（一）双方协商解决。（二）按合同争议条款的约定提请当地工程造价管理部门调解。（三）向仲裁机构申请仲裁或向人民法院提起诉讼。在合同纠纷案件审理中，需要工程造价鉴定的，由各级工程造价管理部门负责或委托甲、乙级工程造价咨询单位进行鉴定。</w:t>
      </w:r>
    </w:p>
    <w:p w14:paraId="7DEE8FE8">
      <w:pPr>
        <w:spacing w:after="0"/>
        <w:rPr>
          <w:rFonts w:ascii="微软雅黑" w:hAnsi="微软雅黑" w:eastAsia="微软雅黑" w:cs="宋体"/>
          <w:color w:val="000000"/>
          <w:kern w:val="0"/>
          <w:sz w:val="28"/>
          <w:szCs w:val="28"/>
        </w:rPr>
      </w:pPr>
      <w:r>
        <w:rPr>
          <w:rFonts w:hint="eastAsia" w:ascii="微软雅黑" w:hAnsi="微软雅黑" w:eastAsia="微软雅黑" w:cs="宋体"/>
          <w:color w:val="000000"/>
          <w:kern w:val="0"/>
          <w:sz w:val="28"/>
          <w:szCs w:val="28"/>
        </w:rPr>
        <w:t xml:space="preserve">        5． 《辽宁省建设工程造价争议、纠纷行政调解工作制度》（辽建价发[2009]7号）(依据全文进行工作)</w:t>
      </w:r>
    </w:p>
    <w:p w14:paraId="53C81A13">
      <w:pPr>
        <w:widowControl/>
        <w:shd w:val="clear" w:color="auto" w:fill="FFFFFF"/>
        <w:spacing w:before="100" w:beforeAutospacing="1" w:after="100" w:afterAutospacing="1" w:line="276" w:lineRule="atLeast"/>
        <w:jc w:val="left"/>
        <w:rPr>
          <w:rFonts w:ascii="微软雅黑" w:hAnsi="微软雅黑" w:eastAsia="微软雅黑" w:cs="宋体"/>
          <w:color w:val="000000"/>
          <w:kern w:val="0"/>
          <w:sz w:val="28"/>
          <w:szCs w:val="28"/>
        </w:rPr>
      </w:pPr>
      <w:r>
        <w:rPr>
          <w:rFonts w:hint="eastAsia" w:ascii="微软雅黑" w:hAnsi="微软雅黑" w:eastAsia="微软雅黑" w:cs="宋体"/>
          <w:color w:val="000000"/>
          <w:kern w:val="0"/>
          <w:sz w:val="28"/>
          <w:szCs w:val="28"/>
        </w:rPr>
        <w:t>三、申请工程造价纠纷行政调解须提供以下资料：</w:t>
      </w:r>
    </w:p>
    <w:p w14:paraId="4FD37E57">
      <w:pPr>
        <w:widowControl/>
        <w:shd w:val="clear" w:color="auto" w:fill="FFFFFF"/>
        <w:spacing w:before="100" w:beforeAutospacing="1" w:after="100" w:afterAutospacing="1" w:line="276" w:lineRule="atLeast"/>
        <w:jc w:val="left"/>
        <w:rPr>
          <w:rFonts w:ascii="微软雅黑" w:hAnsi="微软雅黑" w:eastAsia="微软雅黑" w:cs="宋体"/>
          <w:color w:val="000000"/>
          <w:kern w:val="0"/>
          <w:sz w:val="28"/>
          <w:szCs w:val="28"/>
        </w:rPr>
      </w:pPr>
      <w:r>
        <w:rPr>
          <w:rFonts w:hint="eastAsia" w:ascii="微软雅黑" w:hAnsi="微软雅黑" w:eastAsia="微软雅黑" w:cs="宋体"/>
          <w:color w:val="000000"/>
          <w:kern w:val="0"/>
          <w:sz w:val="28"/>
          <w:szCs w:val="28"/>
        </w:rPr>
        <w:t xml:space="preserve">       1．造价纠纷当事人双方共同申请调解的申请;</w:t>
      </w:r>
    </w:p>
    <w:p w14:paraId="28A2E277">
      <w:pPr>
        <w:widowControl/>
        <w:shd w:val="clear" w:color="auto" w:fill="FFFFFF"/>
        <w:spacing w:before="100" w:beforeAutospacing="1" w:after="100" w:afterAutospacing="1" w:line="276" w:lineRule="atLeast"/>
        <w:jc w:val="left"/>
        <w:rPr>
          <w:rFonts w:ascii="微软雅黑" w:hAnsi="微软雅黑" w:eastAsia="微软雅黑" w:cs="宋体"/>
          <w:color w:val="000000"/>
          <w:kern w:val="0"/>
          <w:sz w:val="28"/>
          <w:szCs w:val="28"/>
        </w:rPr>
      </w:pPr>
      <w:r>
        <w:rPr>
          <w:rFonts w:hint="eastAsia" w:ascii="微软雅黑" w:hAnsi="微软雅黑" w:eastAsia="微软雅黑" w:cs="宋体"/>
          <w:color w:val="000000"/>
          <w:kern w:val="0"/>
          <w:sz w:val="28"/>
          <w:szCs w:val="28"/>
        </w:rPr>
        <w:t xml:space="preserve">       2．造价纠纷当事人双方各自的意见及举证材料;</w:t>
      </w:r>
    </w:p>
    <w:p w14:paraId="6A806B68">
      <w:pPr>
        <w:widowControl/>
        <w:shd w:val="clear" w:color="auto" w:fill="FFFFFF"/>
        <w:spacing w:before="100" w:beforeAutospacing="1" w:after="100" w:afterAutospacing="1" w:line="276" w:lineRule="atLeast"/>
        <w:jc w:val="left"/>
        <w:rPr>
          <w:rFonts w:ascii="微软雅黑" w:hAnsi="微软雅黑" w:eastAsia="微软雅黑" w:cs="宋体"/>
          <w:color w:val="000000"/>
          <w:kern w:val="0"/>
          <w:sz w:val="28"/>
          <w:szCs w:val="28"/>
        </w:rPr>
      </w:pPr>
      <w:r>
        <w:rPr>
          <w:rFonts w:hint="eastAsia" w:ascii="微软雅黑" w:hAnsi="微软雅黑" w:eastAsia="微软雅黑" w:cs="宋体"/>
          <w:color w:val="000000"/>
          <w:kern w:val="0"/>
          <w:sz w:val="28"/>
          <w:szCs w:val="28"/>
        </w:rPr>
        <w:t xml:space="preserve">       3．施工图;</w:t>
      </w:r>
    </w:p>
    <w:p w14:paraId="1A283D95">
      <w:pPr>
        <w:widowControl/>
        <w:shd w:val="clear" w:color="auto" w:fill="FFFFFF"/>
        <w:spacing w:before="100" w:beforeAutospacing="1" w:after="100" w:afterAutospacing="1" w:line="276" w:lineRule="atLeast"/>
        <w:jc w:val="left"/>
        <w:rPr>
          <w:rFonts w:ascii="微软雅黑" w:hAnsi="微软雅黑" w:eastAsia="微软雅黑" w:cs="宋体"/>
          <w:color w:val="000000"/>
          <w:kern w:val="0"/>
          <w:sz w:val="28"/>
          <w:szCs w:val="28"/>
        </w:rPr>
      </w:pPr>
      <w:r>
        <w:rPr>
          <w:rFonts w:hint="eastAsia" w:ascii="微软雅黑" w:hAnsi="微软雅黑" w:eastAsia="微软雅黑" w:cs="宋体"/>
          <w:color w:val="000000"/>
          <w:kern w:val="0"/>
          <w:sz w:val="28"/>
          <w:szCs w:val="28"/>
        </w:rPr>
        <w:t xml:space="preserve">       4．招标文件、投标文件;</w:t>
      </w:r>
    </w:p>
    <w:p w14:paraId="7024250F">
      <w:pPr>
        <w:widowControl/>
        <w:shd w:val="clear" w:color="auto" w:fill="FFFFFF"/>
        <w:spacing w:before="100" w:beforeAutospacing="1" w:after="100" w:afterAutospacing="1" w:line="276" w:lineRule="atLeast"/>
        <w:jc w:val="left"/>
        <w:rPr>
          <w:rFonts w:ascii="微软雅黑" w:hAnsi="微软雅黑" w:eastAsia="微软雅黑" w:cs="宋体"/>
          <w:color w:val="000000"/>
          <w:kern w:val="0"/>
          <w:sz w:val="28"/>
          <w:szCs w:val="28"/>
        </w:rPr>
      </w:pPr>
      <w:r>
        <w:rPr>
          <w:rFonts w:hint="eastAsia" w:ascii="微软雅黑" w:hAnsi="微软雅黑" w:eastAsia="微软雅黑" w:cs="宋体"/>
          <w:color w:val="000000"/>
          <w:kern w:val="0"/>
          <w:sz w:val="28"/>
          <w:szCs w:val="28"/>
        </w:rPr>
        <w:t xml:space="preserve">      5．施工合同及其补充协议数、会议纪要、设计变更等;</w:t>
      </w:r>
    </w:p>
    <w:p w14:paraId="74855EAD">
      <w:pPr>
        <w:widowControl/>
        <w:shd w:val="clear" w:color="auto" w:fill="FFFFFF"/>
        <w:spacing w:before="100" w:beforeAutospacing="1" w:after="100" w:afterAutospacing="1" w:line="276" w:lineRule="atLeast"/>
        <w:jc w:val="left"/>
        <w:rPr>
          <w:rFonts w:ascii="微软雅黑" w:hAnsi="微软雅黑" w:eastAsia="微软雅黑" w:cs="宋体"/>
          <w:color w:val="000000"/>
          <w:kern w:val="0"/>
          <w:sz w:val="28"/>
          <w:szCs w:val="28"/>
        </w:rPr>
      </w:pPr>
      <w:r>
        <w:rPr>
          <w:rFonts w:hint="eastAsia" w:ascii="微软雅黑" w:hAnsi="微软雅黑" w:eastAsia="微软雅黑" w:cs="宋体"/>
          <w:color w:val="000000"/>
          <w:kern w:val="0"/>
          <w:sz w:val="28"/>
          <w:szCs w:val="28"/>
        </w:rPr>
        <w:t xml:space="preserve">      6．造价纠纷当事人共同确认的施工签证等计价资料;</w:t>
      </w:r>
    </w:p>
    <w:p w14:paraId="7E8DD1A2">
      <w:pPr>
        <w:widowControl/>
        <w:shd w:val="clear" w:color="auto" w:fill="FFFFFF"/>
        <w:spacing w:before="100" w:beforeAutospacing="1" w:after="100" w:afterAutospacing="1" w:line="276" w:lineRule="atLeast"/>
        <w:jc w:val="left"/>
        <w:rPr>
          <w:rFonts w:ascii="微软雅黑" w:hAnsi="微软雅黑" w:eastAsia="微软雅黑" w:cs="宋体"/>
          <w:color w:val="000000"/>
          <w:kern w:val="0"/>
          <w:sz w:val="28"/>
          <w:szCs w:val="28"/>
        </w:rPr>
      </w:pPr>
      <w:r>
        <w:rPr>
          <w:rFonts w:hint="eastAsia" w:ascii="微软雅黑" w:hAnsi="微软雅黑" w:eastAsia="微软雅黑" w:cs="宋体"/>
          <w:color w:val="000000"/>
          <w:kern w:val="0"/>
          <w:sz w:val="28"/>
          <w:szCs w:val="28"/>
        </w:rPr>
        <w:t xml:space="preserve">      7．工程造价咨询单位针对工程造价纠纷当事人双方分歧，提出的书面意见。</w:t>
      </w:r>
    </w:p>
    <w:p w14:paraId="7FF2B25F">
      <w:pPr>
        <w:widowControl/>
        <w:shd w:val="clear" w:color="auto" w:fill="FFFFFF"/>
        <w:spacing w:before="100" w:beforeAutospacing="1" w:after="100" w:afterAutospacing="1" w:line="276" w:lineRule="atLeast"/>
        <w:jc w:val="left"/>
        <w:rPr>
          <w:rFonts w:ascii="微软雅黑" w:hAnsi="微软雅黑" w:eastAsia="微软雅黑" w:cs="宋体"/>
          <w:color w:val="000000"/>
          <w:kern w:val="0"/>
          <w:sz w:val="28"/>
          <w:szCs w:val="28"/>
        </w:rPr>
      </w:pPr>
      <w:r>
        <w:rPr>
          <w:rFonts w:hint="eastAsia" w:ascii="微软雅黑" w:hAnsi="微软雅黑" w:eastAsia="微软雅黑" w:cs="宋体"/>
          <w:color w:val="000000"/>
          <w:kern w:val="0"/>
          <w:sz w:val="28"/>
          <w:szCs w:val="28"/>
        </w:rPr>
        <w:t xml:space="preserve">      8．其他资料（涉及工程</w:t>
      </w:r>
      <w:r>
        <w:rPr>
          <w:rFonts w:hint="eastAsia" w:ascii="微软雅黑" w:hAnsi="微软雅黑" w:eastAsia="微软雅黑" w:cs="宋体"/>
          <w:color w:val="000000"/>
          <w:kern w:val="0"/>
          <w:sz w:val="28"/>
          <w:szCs w:val="28"/>
          <w:lang w:eastAsia="zh-CN"/>
        </w:rPr>
        <w:t>纠纷</w:t>
      </w:r>
      <w:r>
        <w:rPr>
          <w:rFonts w:hint="eastAsia" w:ascii="微软雅黑" w:hAnsi="微软雅黑" w:eastAsia="微软雅黑" w:cs="宋体"/>
          <w:color w:val="000000"/>
          <w:kern w:val="0"/>
          <w:sz w:val="28"/>
          <w:szCs w:val="28"/>
        </w:rPr>
        <w:t xml:space="preserve">调节的有效资料）。   </w:t>
      </w:r>
    </w:p>
    <w:p w14:paraId="2289CF62">
      <w:pPr>
        <w:widowControl/>
        <w:shd w:val="clear" w:color="auto" w:fill="FFFFFF"/>
        <w:spacing w:before="100" w:beforeAutospacing="1" w:after="100" w:afterAutospacing="1" w:line="276" w:lineRule="atLeast"/>
        <w:jc w:val="left"/>
        <w:rPr>
          <w:rFonts w:ascii="微软雅黑" w:hAnsi="微软雅黑" w:eastAsia="微软雅黑" w:cs="宋体"/>
          <w:color w:val="000000"/>
          <w:kern w:val="0"/>
          <w:sz w:val="28"/>
          <w:szCs w:val="28"/>
        </w:rPr>
      </w:pPr>
      <w:r>
        <w:rPr>
          <w:rFonts w:hint="eastAsia" w:ascii="微软雅黑" w:hAnsi="微软雅黑" w:eastAsia="微软雅黑" w:cs="宋体"/>
          <w:color w:val="000000"/>
          <w:kern w:val="0"/>
          <w:sz w:val="28"/>
          <w:szCs w:val="28"/>
        </w:rPr>
        <w:t>四、行政调解持流程</w:t>
      </w:r>
    </w:p>
    <w:p w14:paraId="7EBBA643">
      <w:pPr>
        <w:widowControl/>
        <w:shd w:val="clear" w:color="auto" w:fill="FFFFFF"/>
        <w:spacing w:before="100" w:beforeAutospacing="1" w:after="100" w:afterAutospacing="1" w:line="276" w:lineRule="atLeast"/>
        <w:jc w:val="left"/>
        <w:rPr>
          <w:rFonts w:ascii="微软雅黑" w:hAnsi="微软雅黑" w:eastAsia="微软雅黑" w:cs="宋体"/>
          <w:color w:val="000000"/>
          <w:kern w:val="0"/>
          <w:sz w:val="28"/>
          <w:szCs w:val="28"/>
        </w:rPr>
      </w:pPr>
      <w:r>
        <w:rPr>
          <w:rFonts w:hint="eastAsia" w:ascii="微软雅黑" w:hAnsi="微软雅黑" w:eastAsia="微软雅黑" w:cs="宋体"/>
          <w:color w:val="000000"/>
          <w:kern w:val="0"/>
          <w:sz w:val="28"/>
          <w:szCs w:val="28"/>
        </w:rPr>
        <w:t xml:space="preserve">      1、工程造价纠纷当事人双方持相关资料到沈阳市建设工程造价站提出预约办理申请（受理：电话预约、现场预约；受理时限：即时办理）;</w:t>
      </w:r>
    </w:p>
    <w:p w14:paraId="7F6E127F">
      <w:pPr>
        <w:widowControl/>
        <w:shd w:val="clear" w:color="auto" w:fill="FFFFFF"/>
        <w:spacing w:before="100" w:beforeAutospacing="1" w:after="100" w:afterAutospacing="1" w:line="276" w:lineRule="atLeast"/>
        <w:jc w:val="left"/>
        <w:rPr>
          <w:rFonts w:ascii="微软雅黑" w:hAnsi="微软雅黑" w:eastAsia="微软雅黑" w:cs="宋体"/>
          <w:color w:val="000000"/>
          <w:kern w:val="0"/>
          <w:sz w:val="28"/>
          <w:szCs w:val="28"/>
        </w:rPr>
      </w:pPr>
      <w:r>
        <w:rPr>
          <w:rFonts w:hint="eastAsia" w:ascii="微软雅黑" w:hAnsi="微软雅黑" w:eastAsia="微软雅黑" w:cs="宋体"/>
          <w:color w:val="000000"/>
          <w:kern w:val="0"/>
          <w:sz w:val="28"/>
          <w:szCs w:val="28"/>
        </w:rPr>
        <w:t xml:space="preserve">      2、造价站行政调解人员听取双方意见，查看施工合同、签证及施工图纸，必要时去施工现场勘察、核实。受理人员：业务工作人员</w:t>
      </w:r>
      <w:r>
        <w:rPr>
          <w:rFonts w:ascii="微软雅黑" w:hAnsi="微软雅黑" w:eastAsia="微软雅黑" w:cs="宋体"/>
          <w:color w:val="000000"/>
          <w:kern w:val="0"/>
          <w:sz w:val="28"/>
          <w:szCs w:val="28"/>
        </w:rPr>
        <w:br w:type="textWrapping"/>
      </w:r>
      <w:r>
        <w:rPr>
          <w:rFonts w:hint="eastAsia"/>
        </w:rPr>
        <w:t xml:space="preserve">        </w:t>
      </w:r>
      <w:r>
        <w:rPr>
          <w:rFonts w:hint="eastAsia" w:ascii="微软雅黑" w:hAnsi="微软雅黑" w:eastAsia="微软雅黑" w:cs="宋体"/>
          <w:color w:val="000000"/>
          <w:kern w:val="0"/>
          <w:sz w:val="28"/>
          <w:szCs w:val="28"/>
        </w:rPr>
        <w:t>3、受理后，行政调解人员依据先行计价依据及相关政策给出调解意见，并告知造价纠纷当事人双方；超越现行计价依据范围的，明确告知当事人双方，受理完结。如不认同调解意见，可帮助调节当事人双方联系省级造价主管部门，进一步调节（省级主管部门具有最终解释权）。</w:t>
      </w:r>
    </w:p>
    <w:p w14:paraId="3D3F7899">
      <w:pPr>
        <w:widowControl/>
        <w:shd w:val="clear" w:color="auto" w:fill="FFFFFF"/>
        <w:spacing w:before="100" w:beforeAutospacing="1" w:after="100" w:afterAutospacing="1" w:line="276" w:lineRule="atLeast"/>
        <w:ind w:firstLine="315"/>
        <w:jc w:val="left"/>
        <w:rPr>
          <w:rFonts w:ascii="微软雅黑" w:hAnsi="微软雅黑" w:eastAsia="微软雅黑" w:cs="宋体"/>
          <w:color w:val="000000"/>
          <w:kern w:val="0"/>
          <w:sz w:val="28"/>
          <w:szCs w:val="28"/>
        </w:rPr>
      </w:pPr>
      <w:r>
        <w:rPr>
          <w:rFonts w:hint="eastAsia" w:ascii="微软雅黑" w:hAnsi="微软雅黑" w:eastAsia="微软雅黑" w:cs="宋体"/>
          <w:color w:val="000000"/>
          <w:kern w:val="0"/>
          <w:sz w:val="28"/>
          <w:szCs w:val="28"/>
        </w:rPr>
        <w:t>五、建设工程造价纠纷调解工作人员在受理工作过程中，要耐心解答、举止文明、记录解答意见。不得在解答过程中接受纠纷调解申请人员或单位利益诱惑，拒绝“吃、拿、卡、要”。</w:t>
      </w:r>
    </w:p>
    <w:p w14:paraId="417DA532">
      <w:pPr>
        <w:rPr>
          <w:rFonts w:ascii="微软雅黑" w:hAnsi="微软雅黑" w:eastAsia="微软雅黑" w:cs="宋体"/>
          <w:color w:val="000000"/>
          <w:kern w:val="0"/>
          <w:sz w:val="28"/>
          <w:szCs w:val="28"/>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120" w:lineRule="auto"/>
      </w:pPr>
      <w:r>
        <w:separator/>
      </w:r>
    </w:p>
  </w:footnote>
  <w:footnote w:type="continuationSeparator" w:id="1">
    <w:p>
      <w:pPr>
        <w:spacing w:before="0" w:after="0" w:line="12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5E2398"/>
    <w:multiLevelType w:val="multilevel"/>
    <w:tmpl w:val="5A5E2398"/>
    <w:lvl w:ilvl="0" w:tentative="0">
      <w:start w:val="1"/>
      <w:numFmt w:val="japaneseCounting"/>
      <w:lvlText w:val="%1、"/>
      <w:lvlJc w:val="left"/>
      <w:pPr>
        <w:ind w:left="690" w:hanging="360"/>
      </w:pPr>
      <w:rPr>
        <w:rFonts w:hint="default"/>
      </w:rPr>
    </w:lvl>
    <w:lvl w:ilvl="1" w:tentative="0">
      <w:start w:val="1"/>
      <w:numFmt w:val="lowerLetter"/>
      <w:lvlText w:val="%2)"/>
      <w:lvlJc w:val="left"/>
      <w:pPr>
        <w:ind w:left="1170" w:hanging="420"/>
      </w:pPr>
    </w:lvl>
    <w:lvl w:ilvl="2" w:tentative="0">
      <w:start w:val="1"/>
      <w:numFmt w:val="lowerRoman"/>
      <w:lvlText w:val="%3."/>
      <w:lvlJc w:val="right"/>
      <w:pPr>
        <w:ind w:left="1590" w:hanging="420"/>
      </w:pPr>
    </w:lvl>
    <w:lvl w:ilvl="3" w:tentative="0">
      <w:start w:val="1"/>
      <w:numFmt w:val="decimal"/>
      <w:lvlText w:val="%4."/>
      <w:lvlJc w:val="left"/>
      <w:pPr>
        <w:ind w:left="2010" w:hanging="420"/>
      </w:pPr>
    </w:lvl>
    <w:lvl w:ilvl="4" w:tentative="0">
      <w:start w:val="1"/>
      <w:numFmt w:val="lowerLetter"/>
      <w:lvlText w:val="%5)"/>
      <w:lvlJc w:val="left"/>
      <w:pPr>
        <w:ind w:left="2430" w:hanging="420"/>
      </w:pPr>
    </w:lvl>
    <w:lvl w:ilvl="5" w:tentative="0">
      <w:start w:val="1"/>
      <w:numFmt w:val="lowerRoman"/>
      <w:lvlText w:val="%6."/>
      <w:lvlJc w:val="right"/>
      <w:pPr>
        <w:ind w:left="2850" w:hanging="420"/>
      </w:pPr>
    </w:lvl>
    <w:lvl w:ilvl="6" w:tentative="0">
      <w:start w:val="1"/>
      <w:numFmt w:val="decimal"/>
      <w:lvlText w:val="%7."/>
      <w:lvlJc w:val="left"/>
      <w:pPr>
        <w:ind w:left="3270" w:hanging="420"/>
      </w:pPr>
    </w:lvl>
    <w:lvl w:ilvl="7" w:tentative="0">
      <w:start w:val="1"/>
      <w:numFmt w:val="lowerLetter"/>
      <w:lvlText w:val="%8)"/>
      <w:lvlJc w:val="left"/>
      <w:pPr>
        <w:ind w:left="3690" w:hanging="420"/>
      </w:pPr>
    </w:lvl>
    <w:lvl w:ilvl="8" w:tentative="0">
      <w:start w:val="1"/>
      <w:numFmt w:val="lowerRoman"/>
      <w:lvlText w:val="%9."/>
      <w:lvlJc w:val="right"/>
      <w:pPr>
        <w:ind w:left="411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94B08"/>
    <w:rsid w:val="000257F5"/>
    <w:rsid w:val="00067954"/>
    <w:rsid w:val="00102EE6"/>
    <w:rsid w:val="001F3BFA"/>
    <w:rsid w:val="002528D7"/>
    <w:rsid w:val="00255311"/>
    <w:rsid w:val="002A1909"/>
    <w:rsid w:val="002E205F"/>
    <w:rsid w:val="00337F0F"/>
    <w:rsid w:val="003E295F"/>
    <w:rsid w:val="0040544E"/>
    <w:rsid w:val="005C77F8"/>
    <w:rsid w:val="006212E5"/>
    <w:rsid w:val="00694B08"/>
    <w:rsid w:val="00763161"/>
    <w:rsid w:val="0078172C"/>
    <w:rsid w:val="007E40EA"/>
    <w:rsid w:val="008C5B87"/>
    <w:rsid w:val="009327E3"/>
    <w:rsid w:val="009E4A6C"/>
    <w:rsid w:val="00A001EA"/>
    <w:rsid w:val="00AE19BC"/>
    <w:rsid w:val="00BD38D0"/>
    <w:rsid w:val="00BE510E"/>
    <w:rsid w:val="00D9287E"/>
    <w:rsid w:val="00E05E00"/>
    <w:rsid w:val="00EF21DB"/>
    <w:rsid w:val="00F57524"/>
    <w:rsid w:val="00FC4F83"/>
    <w:rsid w:val="20F203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38" w:line="120" w:lineRule="auto"/>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uiPriority w:val="99"/>
    <w:pPr>
      <w:tabs>
        <w:tab w:val="center" w:pos="4153"/>
        <w:tab w:val="right" w:pos="8306"/>
      </w:tabs>
      <w:snapToGrid w:val="0"/>
      <w:spacing w:line="240" w:lineRule="auto"/>
      <w:jc w:val="left"/>
    </w:pPr>
    <w:rPr>
      <w:sz w:val="18"/>
      <w:szCs w:val="18"/>
    </w:rPr>
  </w:style>
  <w:style w:type="paragraph" w:styleId="3">
    <w:name w:val="header"/>
    <w:basedOn w:val="1"/>
    <w:link w:val="8"/>
    <w:semiHidden/>
    <w:unhideWhenUsed/>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4">
    <w:name w:val="Normal (Web)"/>
    <w:basedOn w:val="1"/>
    <w:semiHidden/>
    <w:unhideWhenUsed/>
    <w:uiPriority w:val="99"/>
    <w:pPr>
      <w:widowControl/>
      <w:spacing w:before="100" w:beforeAutospacing="1" w:after="100" w:afterAutospacing="1" w:line="240" w:lineRule="auto"/>
      <w:jc w:val="left"/>
    </w:pPr>
    <w:rPr>
      <w:rFonts w:ascii="宋体" w:hAnsi="宋体" w:eastAsia="宋体" w:cs="宋体"/>
      <w:kern w:val="0"/>
      <w:sz w:val="24"/>
      <w:szCs w:val="24"/>
    </w:rPr>
  </w:style>
  <w:style w:type="character" w:styleId="7">
    <w:name w:val="Hyperlink"/>
    <w:basedOn w:val="6"/>
    <w:semiHidden/>
    <w:unhideWhenUsed/>
    <w:uiPriority w:val="99"/>
    <w:rPr>
      <w:color w:val="0000FF"/>
      <w:u w:val="single"/>
    </w:rPr>
  </w:style>
  <w:style w:type="character" w:customStyle="1" w:styleId="8">
    <w:name w:val="页眉 Char"/>
    <w:basedOn w:val="6"/>
    <w:link w:val="3"/>
    <w:semiHidden/>
    <w:uiPriority w:val="99"/>
    <w:rPr>
      <w:sz w:val="18"/>
      <w:szCs w:val="18"/>
    </w:rPr>
  </w:style>
  <w:style w:type="character" w:customStyle="1" w:styleId="9">
    <w:name w:val="页脚 Char"/>
    <w:basedOn w:val="6"/>
    <w:link w:val="2"/>
    <w:semiHidden/>
    <w:uiPriority w:val="99"/>
    <w:rPr>
      <w:sz w:val="18"/>
      <w:szCs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1325</Words>
  <Characters>1367</Characters>
  <Lines>10</Lines>
  <Paragraphs>2</Paragraphs>
  <TotalTime>1181</TotalTime>
  <ScaleCrop>false</ScaleCrop>
  <LinksUpToDate>false</LinksUpToDate>
  <CharactersWithSpaces>1461</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2020-09-09T05:39:00Z</dcterms:created>
  <dc:creator>tianhongjie</dc:creator>
  <cp:lastModifiedBy> annie</cp:lastModifiedBy>
  <dcterms:modified xsi:type="dcterms:W3CDTF">2026-01-19T12:11:42Z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eyJoZGlkIjoiYTdkYmY1OGE2YWY5N2ZiNzEyN2QxZjY0YzE0ZjYyNTMiLCJ1c2VySWQiOiI2Nzg1MTcxNjEifQ==</vt:lpwstr>
  </property>
  <property fmtid="{D5CDD505-2E9C-101B-9397-08002B2CF9AE}" pid="3" name="KSOProductBuildVer">
    <vt:lpwstr>2052-12.1.0.24657</vt:lpwstr>
  </property>
  <property fmtid="{D5CDD505-2E9C-101B-9397-08002B2CF9AE}" pid="4" name="ICV">
    <vt:lpwstr>C2DDA1B98EFA4FDDAE1E691882295B47_12</vt:lpwstr>
  </property>
</Properties>
</file>